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E721D" w14:textId="698FC9A3" w:rsidR="000201DD" w:rsidRDefault="007A2784">
      <w:r>
        <w:t>HU</w:t>
      </w:r>
    </w:p>
    <w:p w14:paraId="372AA465" w14:textId="77777777" w:rsidR="007A2784" w:rsidRPr="007A2784" w:rsidRDefault="007A2784" w:rsidP="007A2784">
      <w:r w:rsidRPr="007A2784">
        <w:rPr>
          <w:b/>
          <w:bCs/>
        </w:rPr>
        <w:t>AZ ÁRAMÜTÉS, TŰZ, SZEMÉLYI SÉRÜLÉS VAGY ANYAGI KÁROK KOCKÁZATÁNAK CSÖKKENTÉSE ÉRDEKÉBEN EZT AZ ESZKÖZT A KÖVETKEZŐ FIGYELMEZTETÉSEK, ÓVINTÉZKEDÉSEK ÉS BIZTONSÁGI UTASÍTÁSOK SZERINT KELL HASZNÁLNI.</w:t>
      </w:r>
    </w:p>
    <w:p w14:paraId="79F18CC8" w14:textId="77777777" w:rsidR="007A2784" w:rsidRPr="007A2784" w:rsidRDefault="007A2784" w:rsidP="007A2784">
      <w:r w:rsidRPr="007A2784">
        <w:rPr>
          <w:b/>
          <w:bCs/>
        </w:rPr>
        <w:t>FONTOS BIZTONSÁGI UTASÍTÁSOK – EREDETI UTASÍTÁSOK</w:t>
      </w:r>
      <w:r w:rsidRPr="007A2784">
        <w:br/>
        <w:t>Olvassa el az összes utasítást a Hypervolt 2 Pro használata előtt.</w:t>
      </w:r>
    </w:p>
    <w:p w14:paraId="42B2C98B" w14:textId="77777777" w:rsidR="007A2784" w:rsidRPr="007A2784" w:rsidRDefault="007A2784" w:rsidP="007A2784">
      <w:r w:rsidRPr="007A2784">
        <w:rPr>
          <w:b/>
          <w:bCs/>
        </w:rPr>
        <w:t>VESZÉLY</w:t>
      </w:r>
      <w:r w:rsidRPr="007A2784">
        <w:br/>
        <w:t>Az áramütés kockázatának csökkentése érdekében:</w:t>
      </w:r>
      <w:r w:rsidRPr="007A2784">
        <w:br/>
        <w:t>• Mindig húzza ki az eszközt a hálózati aljzatból azonnal használat után és tisztítás előtt.</w:t>
      </w:r>
      <w:r w:rsidRPr="007A2784">
        <w:br/>
        <w:t>• Ne nyúljon az eszközért, ha az vízbe esett. Azonnal húzza ki.</w:t>
      </w:r>
      <w:r w:rsidRPr="007A2784">
        <w:br/>
        <w:t>• Ne használja fürdés vagy zuhanyzás közben.</w:t>
      </w:r>
      <w:r w:rsidRPr="007A2784">
        <w:br/>
        <w:t>• Ne helyezze és ne tárolja az eszközt olyan helyen, ahol beleeshet vagy belehúzhatják egy kádba vagy mosdóba. Ne tegye vízbe vagy más folyadékba, és ne ejtse bele.</w:t>
      </w:r>
    </w:p>
    <w:p w14:paraId="5FEAC11F" w14:textId="77777777" w:rsidR="007A2784" w:rsidRPr="007A2784" w:rsidRDefault="007A2784" w:rsidP="007A2784">
      <w:r w:rsidRPr="007A2784">
        <w:rPr>
          <w:b/>
          <w:bCs/>
        </w:rPr>
        <w:t>FIGYELMEZTETÉS</w:t>
      </w:r>
      <w:r w:rsidRPr="007A2784">
        <w:br/>
        <w:t>Az égési sérülések, tűz, áramütés vagy személyi sérülés kockázatának csökkentése érdekében:</w:t>
      </w:r>
      <w:r w:rsidRPr="007A2784">
        <w:br/>
        <w:t>• Soha ne hagyja az eszközt felügyelet nélkül, ha csatlakoztatva van. Húzza ki az aljzatból, ha nincs használatban, és mielőtt részeket helyez fel vagy távolít el.</w:t>
      </w:r>
      <w:r w:rsidRPr="007A2784">
        <w:br/>
        <w:t>• Ne működtesse takaró vagy párna alatt. Túlmelegedés léphet fel, ami tüzet, áramütést vagy sérülést okozhat.</w:t>
      </w:r>
      <w:r w:rsidRPr="007A2784">
        <w:br/>
        <w:t>• Ezt az eszközt 8 éves vagy annál idősebb gyermekek, valamint csökkent fizikai, érzékszervi vagy mentális képességű személyek, illetve tapasztalat vagy tudás hiányában lévő személyek használhatják, ha felügyeletet vagy oktatást kaptak az eszköz biztonságos használatára vonatkozóan, és megértették a használattal járó veszélyeket.</w:t>
      </w:r>
      <w:r w:rsidRPr="007A2784">
        <w:br/>
        <w:t>• Az eszközt csak a használati útmutatóban leírt rendeltetésszerű használatra alkalmazza. Ne használjon olyan tartozékokat, amelyeket a gyártó nem ajánlott.</w:t>
      </w:r>
      <w:r w:rsidRPr="007A2784">
        <w:br/>
        <w:t>• Soha ne használja az eszközt, ha a vezetéke vagy dugója sérült, ha nem működik megfelelően, ha leejtették vagy megsérült, illetve ha nedves lett. Vigye az eszközt szervizközpontba vizsgálatra és javításra.</w:t>
      </w:r>
      <w:r w:rsidRPr="007A2784">
        <w:br/>
        <w:t>• Ne vigye az eszközt a tápkábelnél fogva, és ne használja a vezetéket fogantyúként.</w:t>
      </w:r>
      <w:r w:rsidRPr="007A2784">
        <w:br/>
        <w:t>• Tartsa a vezetéket távol fűtött felületektől.</w:t>
      </w:r>
      <w:r w:rsidRPr="007A2784">
        <w:br/>
        <w:t>• Soha ne működtesse az eszközt, ha a szellőzőnyílások el vannak zárva. Tartsa a szellőzőnyílásokat szöszöktől, hajtól vagy bármilyen anyagtól mentesen, amely akadályozhatja a levegő áramlását.</w:t>
      </w:r>
    </w:p>
    <w:p w14:paraId="007239B9" w14:textId="77777777" w:rsidR="007A2784" w:rsidRDefault="007A2784"/>
    <w:p w14:paraId="06807535" w14:textId="77777777" w:rsidR="007A2784" w:rsidRPr="007A2784" w:rsidRDefault="007A2784" w:rsidP="007A2784">
      <w:r w:rsidRPr="007A2784">
        <w:lastRenderedPageBreak/>
        <w:t>Soha ne ejtsen vagy helyezzen idegen tárgyat bármilyen nyílásba.</w:t>
      </w:r>
      <w:r w:rsidRPr="007A2784">
        <w:br/>
        <w:t>• Ne használja kültéren.</w:t>
      </w:r>
      <w:r w:rsidRPr="007A2784">
        <w:br/>
        <w:t>• Ne működtesse olyan helyen, ahol aeroszolos (spray) készülékeket használnak, vagy ahol oxigént adagolnak.</w:t>
      </w:r>
      <w:r w:rsidRPr="007A2784">
        <w:br/>
        <w:t>• Soha ne működtesse puha felületen, például ágyon vagy kanapén, ahol a szellőzőnyílások elzáródhatnak.</w:t>
      </w:r>
      <w:r w:rsidRPr="007A2784">
        <w:br/>
        <w:t>• Ne használja az eszközt laza ruházat vagy ékszerek közelében.</w:t>
      </w:r>
      <w:r w:rsidRPr="007A2784">
        <w:br/>
        <w:t>• Hosszú haját tartsa távol az eszköztől használat közben.</w:t>
      </w:r>
      <w:r w:rsidRPr="007A2784">
        <w:br/>
        <w:t>• A tisztítást és karbantartást gyermekek csak felügyelet mellett végezhetik.</w:t>
      </w:r>
      <w:r w:rsidRPr="007A2784">
        <w:br/>
        <w:t>• Ne távolítsa el a csavarokat, és ne próbálja szétszerelni az eszközt.</w:t>
      </w:r>
      <w:r w:rsidRPr="007A2784">
        <w:br/>
        <w:t>• Ne működtesse folyamatosan egy óránál tovább. Egy óra használat után hagyja az eszközt 30 percig pihenni, mielőtt újra használja.</w:t>
      </w:r>
      <w:r w:rsidRPr="007A2784">
        <w:br/>
        <w:t>• Töltés után és a használat előtt húzza ki az eszközt a hálózatból.</w:t>
      </w:r>
      <w:r w:rsidRPr="007A2784">
        <w:br/>
        <w:t>• Az eszközt csak a Használati utasításnak megfelelően használja.</w:t>
      </w:r>
      <w:r w:rsidRPr="007A2784">
        <w:br/>
        <w:t>• A Hypervolt 2 Pro használatakor csak száraz, tiszta testfelületen alkalmazza, finoman nyomva és mozgatva az eszközt körülbelül 60 másodpercig területenként. A Hypervolt 2 Pro kizárólag a test puha szövetein használható, és nem alkalmazható a test kemény vagy csontos területein, beleértve a fejet is. Ha bármilyen fájdalmat vagy kellemetlenséget tapasztal, azonnal hagyja abba a Hypervolt 2 Pro használatát, kivéve az enyhe izomlázat. Véraláfutás előfordulhat a Hypervolt 2 Pro használatakor, függetlenül a nyomás beállításától. Ha véraláfutás jelentkezik, ne használja a Hypervolt 2 Pro-t a sérült területen, amíg a véraláfutás teljesen meg nem gyógyul. A Hypervolt 2 Pro használatát kerülni kell minden véraláfutás, zúzódás, kiütés vagy irritált vagy sérült bőrterületen, amíg azok teljesen meg nem gyógyulnak. A Hypervolt 2 Pro használatakor ügyeljen arra, hogy ujjait, lábujjait, haját és más testrészeit távol tartsa a fej hátsó részétől, hogy elkerülje a becsípődést vagy a haj belegabalyodását.</w:t>
      </w:r>
      <w:r w:rsidRPr="007A2784">
        <w:br/>
        <w:t>• A Hypervolt 2 Pro csak a készülékkel mellékelt kettős szigetelésű, 18VDC Hyperice töltővel (MX24Z2-1801000 típus) tölthető. Ne töltse a Hypervolt 2 Pro-t éjszakán át, és ne hagyja felügyelet nélkül töltés vagy használat közben.</w:t>
      </w:r>
      <w:r w:rsidRPr="007A2784">
        <w:br/>
        <w:t>• Kérjük, ne használja a Hypervolt 2 Pro-t vagy bármilyen ütőmasszírozó eszközt anélkül, hogy előzetesen jóváhagyást kapna orvosától, ha az alábbiak közül bármelyik fennáll:</w:t>
      </w:r>
    </w:p>
    <w:p w14:paraId="091D1ED7" w14:textId="0D6090EB" w:rsidR="007A2784" w:rsidRPr="007A2784" w:rsidRDefault="007A2784" w:rsidP="007A2784">
      <w:pPr>
        <w:numPr>
          <w:ilvl w:val="0"/>
          <w:numId w:val="1"/>
        </w:numPr>
      </w:pPr>
      <w:r w:rsidRPr="007A2784">
        <w:t xml:space="preserve">Terhesség, komplikált diabétesz (például neuropátia vagy retina károsodás), pacemaker viselése, friss műtét vagy sérülés, epilepszia vagy migrén, porckorongsérv, spondylolisthesis, spondylolysis vagy spondylosis, friss ízületpótlás vagy spirál (IUD), fém csapok vagy lemezek, vagy bármilyen aggály a fizikai egészséggel kapcsolatban. Törékeny egyének és gyermekek csak felnőtt </w:t>
      </w:r>
      <w:r w:rsidR="00AC0B25">
        <w:t>felügyelete mellett</w:t>
      </w:r>
      <w:r w:rsidRPr="007A2784">
        <w:t xml:space="preserve"> használhatják a vibrációs vagy ütőmasszírozó eszközt. Ezek az </w:t>
      </w:r>
      <w:r w:rsidRPr="007A2784">
        <w:lastRenderedPageBreak/>
        <w:t>ellenjavallatok nem jelentik azt, hogy nem használhat ütőmasszírozó eszközt, de javasoljuk, hogy előzetesen konzultáljon orvosával.</w:t>
      </w:r>
      <w:r w:rsidRPr="007A2784">
        <w:br/>
        <w:t xml:space="preserve">Folyamatos kutatások zajlanak az ütőmasszázs hatásairól bizonyos egészségügyi rendellenességek esetén, ami a fent említett ellenjavallatok listájának </w:t>
      </w:r>
      <w:r w:rsidR="00AC0B25">
        <w:t>rövidüléséhez</w:t>
      </w:r>
      <w:r w:rsidRPr="007A2784">
        <w:t xml:space="preserve"> vezethet.</w:t>
      </w:r>
      <w:r w:rsidRPr="007A2784">
        <w:br/>
        <w:t>• A Hypervolt 2 Pro nem használható olyan személyek (beleértve a gyermekeket is) által, akik csökkent fizikai, érzékszervi vagy mentális képességekkel rendelkeznek, vagy akiknek hiányos a tapasztalatuk és tudásuk, kivéve, ha biztonságukért felelős személy felügyeletet nyújtott nekik. Gyermekeket felügyelni kell, hogy ne játszanak a Hypervolt 2 Pro-val.</w:t>
      </w:r>
      <w:r w:rsidRPr="007A2784">
        <w:br/>
        <w:t xml:space="preserve">• A Hypervolt 2 Pro akkumulátort tartalmaz, amelyet </w:t>
      </w:r>
      <w:r w:rsidR="00EE1D3D">
        <w:t xml:space="preserve">kidobni cask </w:t>
      </w:r>
      <w:r w:rsidRPr="007A2784">
        <w:t>egy megfelelő elektronikai hulladéklerakóban vagy újrahasznosító létesítményben</w:t>
      </w:r>
      <w:r w:rsidR="00EE1D3D">
        <w:t xml:space="preserve"> lehet</w:t>
      </w:r>
      <w:r w:rsidRPr="007A2784">
        <w:t>.</w:t>
      </w:r>
    </w:p>
    <w:p w14:paraId="37C20700" w14:textId="77777777" w:rsidR="007A2784" w:rsidRDefault="007A2784" w:rsidP="007A2784">
      <w:pPr>
        <w:pStyle w:val="NormalWeb"/>
        <w:numPr>
          <w:ilvl w:val="0"/>
          <w:numId w:val="1"/>
        </w:numPr>
      </w:pPr>
      <w:r>
        <w:rPr>
          <w:rStyle w:val="Strong"/>
          <w:rFonts w:eastAsiaTheme="majorEastAsia"/>
        </w:rPr>
        <w:t>FIGYELMEZTETÉS</w:t>
      </w:r>
      <w:r>
        <w:br/>
        <w:t>Az eszközben használt akkumulátor tűz- vagy vegyi égési sérülés kockázatát jelentheti, ha nem megfelelően kezelik. Ne szerelje szét, ne melegítse 100°C fölé, és ne égesse el. A használt akkumulátort haladéktalanul ártalmatlanítsa. Tartsa távol gyermekektől.</w:t>
      </w:r>
      <w:r>
        <w:br/>
      </w:r>
      <w:r>
        <w:rPr>
          <w:rStyle w:val="Strong"/>
          <w:rFonts w:eastAsiaTheme="majorEastAsia"/>
        </w:rPr>
        <w:t>ŐRIZZE MEG EZEKET AZ UTASÍTÁSOKAT</w:t>
      </w:r>
    </w:p>
    <w:p w14:paraId="29934D2A" w14:textId="77777777" w:rsidR="007A2784" w:rsidRDefault="007A2784" w:rsidP="007A2784">
      <w:pPr>
        <w:pStyle w:val="NormalWeb"/>
        <w:numPr>
          <w:ilvl w:val="0"/>
          <w:numId w:val="1"/>
        </w:numPr>
      </w:pPr>
      <w:r>
        <w:t>A Hypervolt 2 Pro egy kézi ütőmasszírozó eszköz, amely célzott nyomásimpulzusokat alkalmaz az izmok ápolására, feszültségoldásra, pihentető masszázs biztosítására, a bemelegítés és regeneráció felgyorsítására, valamint a rugalmasság és mozgástartomány fenntartására.</w:t>
      </w:r>
    </w:p>
    <w:p w14:paraId="130406A6" w14:textId="77777777" w:rsidR="007A2784" w:rsidRDefault="007A2784" w:rsidP="007A2784">
      <w:pPr>
        <w:pStyle w:val="NormalWeb"/>
        <w:numPr>
          <w:ilvl w:val="0"/>
          <w:numId w:val="1"/>
        </w:numPr>
      </w:pPr>
      <w:r>
        <w:rPr>
          <w:rStyle w:val="Strong"/>
          <w:rFonts w:eastAsiaTheme="majorEastAsia"/>
        </w:rPr>
        <w:t>HASZNÁLAT</w:t>
      </w:r>
      <w:r>
        <w:br/>
        <w:t>Kapcsolja be a Hypervolt 2 Pro-t a fogantyú alján található kapcsolóval. A fogantyún lévő LED szalag világítani kezd, jelezve az akkumulátor töltöttségi szintjét. A digitális sebességszabályzót fordítsa az óramutató járásával megegyezően a kívánt sebesség beállításához, amelyet a kezelőpanelen világító LED-ek jeleznek.</w:t>
      </w:r>
      <w:r>
        <w:br/>
        <w:t>A Hypervolt 2 Pro most használatra kész. A legalacsonyabb sebesség a kilenc órás pozícióban, a legmagasabb sebesség pedig a tizenkét órás pozícióban van. Az óramutató járásával megegyező irányba forgatva a sebesség nő. A kikapcsoláshoz fordítsa a digitális vezérlőgombot az óramutató járásával ellentétes irányba, amíg az összes LED ki nem kapcsol.</w:t>
      </w:r>
    </w:p>
    <w:p w14:paraId="1C7FBF3C" w14:textId="4CA442CA" w:rsidR="007A2784" w:rsidRDefault="007A2784" w:rsidP="007A2784">
      <w:pPr>
        <w:pStyle w:val="NormalWeb"/>
        <w:numPr>
          <w:ilvl w:val="0"/>
          <w:numId w:val="1"/>
        </w:numPr>
      </w:pPr>
      <w:r>
        <w:rPr>
          <w:rStyle w:val="Strong"/>
          <w:rFonts w:eastAsiaTheme="majorEastAsia"/>
        </w:rPr>
        <w:t>FEJCSERÉK</w:t>
      </w:r>
      <w:r>
        <w:br/>
        <w:t>Csak akkor cserélje a fejeket, ha a sebesség beállítása ki van kapcsolva, és a fej már nem mozog. A fejcseréhez húzza ki egyenesen a meglévő fejet, és erőteljesen nyomja be az új fejet a nyílásba. A villa fej esetében igazítsa a villa fülét a nyílás hornyához, és erősen nyomja be.</w:t>
      </w:r>
    </w:p>
    <w:p w14:paraId="6BD82BB9" w14:textId="77777777" w:rsidR="007A2784" w:rsidRDefault="007A2784" w:rsidP="007A2784">
      <w:pPr>
        <w:pStyle w:val="NormalWeb"/>
        <w:numPr>
          <w:ilvl w:val="0"/>
          <w:numId w:val="1"/>
        </w:numPr>
      </w:pPr>
      <w:r>
        <w:rPr>
          <w:rStyle w:val="Strong"/>
          <w:rFonts w:eastAsiaTheme="majorEastAsia"/>
        </w:rPr>
        <w:t>TÖLTÉS</w:t>
      </w:r>
      <w:r>
        <w:br/>
        <w:t xml:space="preserve">Első használat előtt töltse fel az akkumulátort teljesen, akár négy órán keresztül, az akkumulátor csatlakoztatott vagy leválasztott állapotában. A töltéshez csatlakoztassa a mellékelt 18V-os töltő egyenáramú végét az akkumulátor/fogantyú alján található töltőporthoz, majd csatlakoztassa a töltőt egy hálózati aljzathoz. A LED szalag színei a töltöttségi szintet jelzik: a piros (alacsony) és a zöld (teljesen feltöltött) között. A teljes töltöttséget akkor jelzi, ha a LED szalag folyamatosan zölden világít. Az akkumulátort </w:t>
      </w:r>
      <w:r>
        <w:lastRenderedPageBreak/>
        <w:t>bármikor újratöltheti, bármilyen töltöttségi szinten. Nem ajánlott teljesen lemeríteni az akkumulátort a piros LED szintig. Az átlagos üzemidő több mint 2 óra, a sebesség szintjétől és a használat során alkalmazott nyomástól függően. Ajánlott a készülék kikapcsolása, amikor nem használja, és tárolás vagy utazás közben is.</w:t>
      </w:r>
    </w:p>
    <w:p w14:paraId="5F124A9F" w14:textId="77777777" w:rsidR="007A2784" w:rsidRDefault="007A2784" w:rsidP="007A2784">
      <w:pPr>
        <w:pStyle w:val="NormalWeb"/>
        <w:numPr>
          <w:ilvl w:val="0"/>
          <w:numId w:val="1"/>
        </w:numPr>
      </w:pPr>
      <w:r>
        <w:rPr>
          <w:rStyle w:val="Strong"/>
          <w:rFonts w:eastAsiaTheme="majorEastAsia"/>
        </w:rPr>
        <w:t>TISZTÍTÁS ÉS TÁROLÁS</w:t>
      </w:r>
      <w:r>
        <w:br/>
        <w:t>Győződjön meg arról, hogy az eszköz ki van kapcsolva, és a töltő nincs csatlakoztatva. Használjon nedves, tiszta ruhát, és óvatosan törölje le a Hypervolt 2 Pro-t. Használaton kívül tárolja tiszta, hűvös, száraz helyen, közvetlen napfénytől védve.</w:t>
      </w:r>
    </w:p>
    <w:p w14:paraId="5BC59DB0" w14:textId="7E4293B1" w:rsidR="007A2784" w:rsidRDefault="007A2784" w:rsidP="007A2784">
      <w:pPr>
        <w:pStyle w:val="NormalWeb"/>
        <w:numPr>
          <w:ilvl w:val="0"/>
          <w:numId w:val="1"/>
        </w:numPr>
      </w:pPr>
      <w:r>
        <w:rPr>
          <w:rStyle w:val="Strong"/>
          <w:rFonts w:eastAsiaTheme="majorEastAsia"/>
        </w:rPr>
        <w:t>CSATLAKOZÁS A HYPERICE ALKALMAZÁSHOZ</w:t>
      </w:r>
      <w:r>
        <w:br/>
        <w:t>Az eszköz Bluetooth® kapcsolaton keresztüli csatlakoztatásához győződjön meg róla, hogy az eszköz be van kapcsolva, a Bluetooth® be van kapcsolva a telefonján, és az eszköz közel van. Válasszon egy rutint a Hyperice alkalmazásban, és ha megjelenik a „Scan for Devices” (Eszközök keresése) lehetőség, koppintson rá. Amikor az eszköz megjelenik a képernyőn, válassza ki. A HyperSmart™ automatikusan elindítja az eszközt, és beállítja a sebességet és az intenzitást, rutin</w:t>
      </w:r>
      <w:r w:rsidR="00EE1D3D">
        <w:t xml:space="preserve"> szerint</w:t>
      </w:r>
      <w:r>
        <w:t>.</w:t>
      </w:r>
    </w:p>
    <w:p w14:paraId="0DA14850" w14:textId="77777777" w:rsidR="007A2784" w:rsidRDefault="007A2784"/>
    <w:sectPr w:rsidR="007A27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675C4"/>
    <w:multiLevelType w:val="multilevel"/>
    <w:tmpl w:val="88BAB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0158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EC2"/>
    <w:rsid w:val="000201DD"/>
    <w:rsid w:val="003A4D86"/>
    <w:rsid w:val="00777871"/>
    <w:rsid w:val="007A2784"/>
    <w:rsid w:val="00AC0B25"/>
    <w:rsid w:val="00BB2EC2"/>
    <w:rsid w:val="00C271BD"/>
    <w:rsid w:val="00EE1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FFE96"/>
  <w15:chartTrackingRefBased/>
  <w15:docId w15:val="{B1A94082-60D4-4E93-8163-CEB59AB49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2E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2E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2E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2E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2E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2E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2E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2E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2E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E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2E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2E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2E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2E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2E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2E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2E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2EC2"/>
    <w:rPr>
      <w:rFonts w:eastAsiaTheme="majorEastAsia" w:cstheme="majorBidi"/>
      <w:color w:val="272727" w:themeColor="text1" w:themeTint="D8"/>
    </w:rPr>
  </w:style>
  <w:style w:type="paragraph" w:styleId="Title">
    <w:name w:val="Title"/>
    <w:basedOn w:val="Normal"/>
    <w:next w:val="Normal"/>
    <w:link w:val="TitleChar"/>
    <w:uiPriority w:val="10"/>
    <w:qFormat/>
    <w:rsid w:val="00BB2E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2E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2E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2E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2EC2"/>
    <w:pPr>
      <w:spacing w:before="160"/>
      <w:jc w:val="center"/>
    </w:pPr>
    <w:rPr>
      <w:i/>
      <w:iCs/>
      <w:color w:val="404040" w:themeColor="text1" w:themeTint="BF"/>
    </w:rPr>
  </w:style>
  <w:style w:type="character" w:customStyle="1" w:styleId="QuoteChar">
    <w:name w:val="Quote Char"/>
    <w:basedOn w:val="DefaultParagraphFont"/>
    <w:link w:val="Quote"/>
    <w:uiPriority w:val="29"/>
    <w:rsid w:val="00BB2EC2"/>
    <w:rPr>
      <w:i/>
      <w:iCs/>
      <w:color w:val="404040" w:themeColor="text1" w:themeTint="BF"/>
    </w:rPr>
  </w:style>
  <w:style w:type="paragraph" w:styleId="ListParagraph">
    <w:name w:val="List Paragraph"/>
    <w:basedOn w:val="Normal"/>
    <w:uiPriority w:val="34"/>
    <w:qFormat/>
    <w:rsid w:val="00BB2EC2"/>
    <w:pPr>
      <w:ind w:left="720"/>
      <w:contextualSpacing/>
    </w:pPr>
  </w:style>
  <w:style w:type="character" w:styleId="IntenseEmphasis">
    <w:name w:val="Intense Emphasis"/>
    <w:basedOn w:val="DefaultParagraphFont"/>
    <w:uiPriority w:val="21"/>
    <w:qFormat/>
    <w:rsid w:val="00BB2EC2"/>
    <w:rPr>
      <w:i/>
      <w:iCs/>
      <w:color w:val="0F4761" w:themeColor="accent1" w:themeShade="BF"/>
    </w:rPr>
  </w:style>
  <w:style w:type="paragraph" w:styleId="IntenseQuote">
    <w:name w:val="Intense Quote"/>
    <w:basedOn w:val="Normal"/>
    <w:next w:val="Normal"/>
    <w:link w:val="IntenseQuoteChar"/>
    <w:uiPriority w:val="30"/>
    <w:qFormat/>
    <w:rsid w:val="00BB2E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2EC2"/>
    <w:rPr>
      <w:i/>
      <w:iCs/>
      <w:color w:val="0F4761" w:themeColor="accent1" w:themeShade="BF"/>
    </w:rPr>
  </w:style>
  <w:style w:type="character" w:styleId="IntenseReference">
    <w:name w:val="Intense Reference"/>
    <w:basedOn w:val="DefaultParagraphFont"/>
    <w:uiPriority w:val="32"/>
    <w:qFormat/>
    <w:rsid w:val="00BB2EC2"/>
    <w:rPr>
      <w:b/>
      <w:bCs/>
      <w:smallCaps/>
      <w:color w:val="0F4761" w:themeColor="accent1" w:themeShade="BF"/>
      <w:spacing w:val="5"/>
    </w:rPr>
  </w:style>
  <w:style w:type="paragraph" w:styleId="NormalWeb">
    <w:name w:val="Normal (Web)"/>
    <w:basedOn w:val="Normal"/>
    <w:uiPriority w:val="99"/>
    <w:semiHidden/>
    <w:unhideWhenUsed/>
    <w:rsid w:val="007A278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7A27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918096">
      <w:bodyDiv w:val="1"/>
      <w:marLeft w:val="0"/>
      <w:marRight w:val="0"/>
      <w:marTop w:val="0"/>
      <w:marBottom w:val="0"/>
      <w:divBdr>
        <w:top w:val="none" w:sz="0" w:space="0" w:color="auto"/>
        <w:left w:val="none" w:sz="0" w:space="0" w:color="auto"/>
        <w:bottom w:val="none" w:sz="0" w:space="0" w:color="auto"/>
        <w:right w:val="none" w:sz="0" w:space="0" w:color="auto"/>
      </w:divBdr>
    </w:div>
    <w:div w:id="736246091">
      <w:bodyDiv w:val="1"/>
      <w:marLeft w:val="0"/>
      <w:marRight w:val="0"/>
      <w:marTop w:val="0"/>
      <w:marBottom w:val="0"/>
      <w:divBdr>
        <w:top w:val="none" w:sz="0" w:space="0" w:color="auto"/>
        <w:left w:val="none" w:sz="0" w:space="0" w:color="auto"/>
        <w:bottom w:val="none" w:sz="0" w:space="0" w:color="auto"/>
        <w:right w:val="none" w:sz="0" w:space="0" w:color="auto"/>
      </w:divBdr>
    </w:div>
    <w:div w:id="864710965">
      <w:bodyDiv w:val="1"/>
      <w:marLeft w:val="0"/>
      <w:marRight w:val="0"/>
      <w:marTop w:val="0"/>
      <w:marBottom w:val="0"/>
      <w:divBdr>
        <w:top w:val="none" w:sz="0" w:space="0" w:color="auto"/>
        <w:left w:val="none" w:sz="0" w:space="0" w:color="auto"/>
        <w:bottom w:val="none" w:sz="0" w:space="0" w:color="auto"/>
        <w:right w:val="none" w:sz="0" w:space="0" w:color="auto"/>
      </w:divBdr>
    </w:div>
    <w:div w:id="1539783413">
      <w:bodyDiv w:val="1"/>
      <w:marLeft w:val="0"/>
      <w:marRight w:val="0"/>
      <w:marTop w:val="0"/>
      <w:marBottom w:val="0"/>
      <w:divBdr>
        <w:top w:val="none" w:sz="0" w:space="0" w:color="auto"/>
        <w:left w:val="none" w:sz="0" w:space="0" w:color="auto"/>
        <w:bottom w:val="none" w:sz="0" w:space="0" w:color="auto"/>
        <w:right w:val="none" w:sz="0" w:space="0" w:color="auto"/>
      </w:divBdr>
    </w:div>
    <w:div w:id="193674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73</TotalTime>
  <Pages>4</Pages>
  <Words>1322</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Botond Meszaros</dc:creator>
  <cp:keywords/>
  <dc:description/>
  <cp:lastModifiedBy>Botond Meszaros</cp:lastModifiedBy>
  <cp:revision>2</cp:revision>
  <dcterms:created xsi:type="dcterms:W3CDTF">2024-09-11T08:17:00Z</dcterms:created>
  <dcterms:modified xsi:type="dcterms:W3CDTF">2024-09-11T09:34:00Z</dcterms:modified>
</cp:coreProperties>
</file>